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Goal: Deliver ICMS 3.0 at Team Leaders meeting 2025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Waypoints: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proposed ICMS 3.0 mock-ups and changes to supporting systems at TL 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and engage with changes to Virtual OSOCC (VO) – linking ICMS + VO?!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Sponsorship for Develops (AE, JH)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additional developers as required (determined by AE, JH)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Work to be done: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confirm data capture requirements (Qatar)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and present new form structures, Data and Format: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Triage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Worksite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Victim Extrication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Logistics request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Fact sheet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 Handover form!?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Delinking of worksite ID’s from sectors (we may need have a sector linking function but as an option rather than hardwired)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Align mobilisation terms across all platforms (TWG Checklist)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Coordination Layers and how we ID them (Sector, Segment, Worksite AOI/POI)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forms: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Triage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Worksite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Victim extrication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to Quick Capture and Field maps.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to experience builder for Dashboards??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Tasking functions (Work Force)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Dashboard rebuilds. (EB)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 enhancements and linking.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Apps: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SARCOP modelled ICMS 3.0 Field app within Quick Capture/Field Maps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training materials.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Training plan.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 timeline for training (ToT)?!!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Recruiting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Developers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Endorsed members.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members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Timelines: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Present proposed ICMS 3.0 mock-ups and changes to supporting systems at TL 2024.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Required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set completed.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design completed. (Simplified)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Worksite ID modelling agreed on.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Coordination Layers agreed on.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Field app - Quick capture design agreed on – Mocked up.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Dashboard Design and content agreed on – Mocked up.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Tasking methodology agreed and mocked up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Reporting – Outputs agreed and mocked up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VO Enhancements.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Alignment of Team Status (All applications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 to only be a one-way comms for coordination function (out)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Incoming info from teams via an agreed path – not VOSOCC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VO people to get alignment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Develop project Gantt charts and task assignments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Sponsorship: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Aidan, Ed and John H need to be sponsored to attend at least one of the IMWG meetings each year. (Neither home agency is able to provide the needed sponsorship.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approach INSARAG Sec to get funding for 1-2 trips per year for both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risk is that we will not be able to progress to ICMS 3.0 without this.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priority action</w:t>
      </w:r>
    </w:p>
    <w:p w:rsidR="00000000" w:rsidDel="00000000" w:rsidP="00000000" w:rsidRDefault="00000000" w:rsidRPr="00000000" w14:paraId="00000041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Roboto" w:cs="Roboto" w:eastAsia="Roboto" w:hAnsi="Roboto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inline distB="0" distT="0" distL="0" distR="0">
          <wp:extent cx="1918234" cy="589905"/>
          <wp:effectExtent b="0" l="0" r="0" t="0"/>
          <wp:docPr id="13577324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8234" cy="589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0</wp:posOffset>
              </wp:positionV>
              <wp:extent cx="3867150" cy="447675"/>
              <wp:effectExtent b="0" l="0" r="0" t="0"/>
              <wp:wrapNone/>
              <wp:docPr id="135773245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17188" y="3560925"/>
                        <a:ext cx="38576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1"/>
                              <w:i w:val="0"/>
                              <w:smallCaps w:val="0"/>
                              <w:strike w:val="0"/>
                              <w:color w:val="0070c0"/>
                              <w:sz w:val="32"/>
                              <w:vertAlign w:val="baseline"/>
                            </w:rPr>
                            <w:t xml:space="preserve">IMWG Planning Document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0</wp:posOffset>
              </wp:positionV>
              <wp:extent cx="3867150" cy="447675"/>
              <wp:effectExtent b="0" l="0" r="0" t="0"/>
              <wp:wrapNone/>
              <wp:docPr id="135773245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67150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C496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242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422C"/>
  </w:style>
  <w:style w:type="paragraph" w:styleId="Footer">
    <w:name w:val="footer"/>
    <w:basedOn w:val="Normal"/>
    <w:link w:val="FooterChar"/>
    <w:uiPriority w:val="99"/>
    <w:unhideWhenUsed w:val="1"/>
    <w:rsid w:val="002242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42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3yusztxe6qw/nIXgYWNGrkvuSA==">CgMxLjA4AHIhMW8ySm1fZlE1YWd5c01vN1NyYTZqTzY2M0gzQXQweU9a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2023-11-27T22:42:00Z</dcterms:created>
  <dc:creator>Maunder, Jeff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0x0101006C880D895022274EA50D1447D3DCF6D3</vt:lpwstr>
  </property>
</Properties>
</file>